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8543" w14:textId="3250B178" w:rsidR="00384BF4" w:rsidRDefault="00AF072C" w:rsidP="00AF072C">
      <w:pPr>
        <w:pStyle w:val="Title"/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</w:t>
      </w:r>
    </w:p>
    <w:p w14:paraId="5CB50ECD" w14:textId="0D37B6FF" w:rsidR="00AF072C" w:rsidRPr="00FA4CA6" w:rsidRDefault="00AF072C" w:rsidP="00FA4CA6">
      <w:pPr>
        <w:pStyle w:val="Subtitle"/>
        <w:rPr>
          <w:b/>
          <w:bCs/>
        </w:rPr>
      </w:pPr>
      <w:r w:rsidRPr="00FA4CA6">
        <w:rPr>
          <w:b/>
          <w:bCs/>
        </w:rPr>
        <w:t>Јован Јовановић,</w:t>
      </w:r>
    </w:p>
    <w:p w14:paraId="2D73FA8D" w14:textId="76E80E06" w:rsidR="00AF072C" w:rsidRPr="00FA4CA6" w:rsidRDefault="00AF072C" w:rsidP="00FA4CA6">
      <w:pPr>
        <w:pStyle w:val="Subtitle"/>
      </w:pPr>
      <w:r w:rsidRPr="00FA4CA6">
        <w:t>Школски центар „Никола Тесла“, Вршац</w:t>
      </w:r>
    </w:p>
    <w:p w14:paraId="3F6EEDD9" w14:textId="6141B7CD" w:rsidR="00AF072C" w:rsidRPr="00FA4CA6" w:rsidRDefault="00AF072C" w:rsidP="00FA4CA6">
      <w:pPr>
        <w:pStyle w:val="Subtitle"/>
      </w:pPr>
      <w:r w:rsidRPr="00FA4CA6">
        <w:t>Електротехничар информационих технологија, IV2</w:t>
      </w:r>
    </w:p>
    <w:p w14:paraId="5A198AF5" w14:textId="77777777" w:rsidR="00AF072C" w:rsidRDefault="00AF072C">
      <w:pPr>
        <w:rPr>
          <w:lang w:val="ru-RU"/>
        </w:rPr>
      </w:pPr>
    </w:p>
    <w:p w14:paraId="685544EE" w14:textId="2CF31F6E" w:rsidR="00AF072C" w:rsidRPr="00AF072C" w:rsidRDefault="00AF072C" w:rsidP="00AF072C">
      <w:pPr>
        <w:pStyle w:val="Heading1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Увод</w:t>
      </w:r>
    </w:p>
    <w:p w14:paraId="6A7531F4" w14:textId="4869C5BA" w:rsidR="00AF072C" w:rsidRDefault="00AF072C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</w:t>
      </w:r>
      <w:r w:rsidRPr="00AF072C">
        <w:rPr>
          <w:lang w:val="ru-RU"/>
        </w:rPr>
        <w:t xml:space="preserve">.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  <w:r w:rsidRPr="00AF072C">
        <w:rPr>
          <w:lang w:val="ru-RU"/>
        </w:rPr>
        <w:t xml:space="preserve"> </w:t>
      </w:r>
      <w:r w:rsidRPr="00AF072C">
        <w:rPr>
          <w:lang w:val="ru-RU"/>
        </w:rPr>
        <w:t>Примена машинског учења у сајбер безбедности.</w:t>
      </w:r>
    </w:p>
    <w:p w14:paraId="1CD346BE" w14:textId="77777777" w:rsidR="00FA4CA6" w:rsidRDefault="00FA4CA6">
      <w:pPr>
        <w:rPr>
          <w:lang w:val="ru-RU"/>
        </w:rPr>
      </w:pPr>
    </w:p>
    <w:p w14:paraId="2FF019A6" w14:textId="07FF5161" w:rsidR="00AF072C" w:rsidRDefault="00AF072C" w:rsidP="00AF072C">
      <w:pPr>
        <w:pStyle w:val="Heading1"/>
        <w:numPr>
          <w:ilvl w:val="0"/>
          <w:numId w:val="1"/>
        </w:numPr>
        <w:rPr>
          <w:lang w:val="ru-RU"/>
        </w:rPr>
      </w:pPr>
      <w:r>
        <w:rPr>
          <w:lang w:val="ru-RU"/>
        </w:rPr>
        <w:t>Ово је наслов</w:t>
      </w:r>
    </w:p>
    <w:p w14:paraId="11E88B29" w14:textId="54155620" w:rsidR="00AF072C" w:rsidRDefault="00AF072C" w:rsidP="00AF072C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0705C1FF" w14:textId="77777777" w:rsidR="004F659F" w:rsidRDefault="004F659F" w:rsidP="004F659F">
      <w:pPr>
        <w:keepNext/>
        <w:ind w:firstLine="0"/>
        <w:jc w:val="center"/>
      </w:pPr>
      <w:r>
        <w:drawing>
          <wp:inline distT="0" distB="0" distL="0" distR="0" wp14:anchorId="20E4E657" wp14:editId="408F62C1">
            <wp:extent cx="3600000" cy="1806536"/>
            <wp:effectExtent l="0" t="0" r="635" b="3810"/>
            <wp:docPr id="1" name="Picture 1" descr="Model Builder supports classification, value prediction, recommendation, image classification, and object detection scenari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Builder supports classification, value prediction, recommendation, image classification, and object detection scenario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8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FD2A" w14:textId="35BD08CF" w:rsidR="004F659F" w:rsidRDefault="004F659F" w:rsidP="004F659F">
      <w:pPr>
        <w:pStyle w:val="Caption"/>
        <w:rPr>
          <w:lang w:val="ru-RU"/>
        </w:rPr>
      </w:pPr>
      <w:r>
        <w:t xml:space="preserve">Слика </w:t>
      </w:r>
      <w:r>
        <w:fldChar w:fldCharType="begin"/>
      </w:r>
      <w:r>
        <w:instrText xml:space="preserve"> SEQ Слика_ \* ARABIC </w:instrText>
      </w:r>
      <w:r>
        <w:fldChar w:fldCharType="separate"/>
      </w:r>
      <w:r>
        <w:t>1</w:t>
      </w:r>
      <w:r>
        <w:fldChar w:fldCharType="end"/>
      </w:r>
      <w:r>
        <w:rPr>
          <w:lang w:val="sr-Cyrl-RS"/>
        </w:rPr>
        <w:t xml:space="preserve">. </w:t>
      </w:r>
      <w:r w:rsidR="00FA4CA6">
        <w:rPr>
          <w:lang w:val="sr-Cyrl-RS"/>
        </w:rPr>
        <w:t>Опис прве слике</w:t>
      </w:r>
    </w:p>
    <w:p w14:paraId="07D4F591" w14:textId="77777777" w:rsidR="00FE4FE6" w:rsidRDefault="00FE4FE6" w:rsidP="00FE4FE6">
      <w:pPr>
        <w:rPr>
          <w:lang w:val="ru-RU"/>
        </w:rPr>
      </w:pPr>
    </w:p>
    <w:p w14:paraId="71F6C14B" w14:textId="47BF0FFB" w:rsidR="00AF072C" w:rsidRDefault="00AF072C" w:rsidP="00AF072C">
      <w:pPr>
        <w:pStyle w:val="Heading2"/>
        <w:numPr>
          <w:ilvl w:val="1"/>
          <w:numId w:val="1"/>
        </w:numPr>
        <w:rPr>
          <w:lang w:val="ru-RU"/>
        </w:rPr>
      </w:pPr>
      <w:r>
        <w:rPr>
          <w:lang w:val="ru-RU"/>
        </w:rPr>
        <w:t>Ово је поднаслов</w:t>
      </w:r>
    </w:p>
    <w:p w14:paraId="212F5E57" w14:textId="6276F78F" w:rsidR="00AF072C" w:rsidRDefault="00AF072C" w:rsidP="00AF072C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79D4D216" w14:textId="77777777" w:rsidR="00FE4FE6" w:rsidRDefault="00FE4FE6" w:rsidP="00FE4FE6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748C9059" w14:textId="77777777" w:rsidR="00FE4FE6" w:rsidRDefault="00FE4FE6" w:rsidP="00FE4FE6">
      <w:pPr>
        <w:rPr>
          <w:lang w:val="ru-RU"/>
        </w:rPr>
      </w:pPr>
      <w:r w:rsidRPr="00AF072C">
        <w:rPr>
          <w:lang w:val="ru-RU"/>
        </w:rPr>
        <w:t xml:space="preserve"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</w:t>
      </w:r>
      <w:r w:rsidRPr="00AF072C">
        <w:rPr>
          <w:lang w:val="ru-RU"/>
        </w:rPr>
        <w:lastRenderedPageBreak/>
        <w:t>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72C5E2F9" w14:textId="7E449B79" w:rsidR="00FE4FE6" w:rsidRDefault="00FE4FE6" w:rsidP="00AF072C">
      <w:pPr>
        <w:rPr>
          <w:lang w:val="ru-RU"/>
        </w:rPr>
      </w:pPr>
      <w:r>
        <w:rPr>
          <w:lang w:val="ru-RU"/>
        </w:rPr>
        <w:t>Ово је табела: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FE4FE6" w:rsidRPr="00FA4CA6" w14:paraId="1338BAA0" w14:textId="77777777" w:rsidTr="00FA4CA6">
        <w:tc>
          <w:tcPr>
            <w:tcW w:w="2500" w:type="pct"/>
          </w:tcPr>
          <w:p w14:paraId="7C08B2E3" w14:textId="7D0CED73" w:rsidR="00FE4FE6" w:rsidRPr="00FA4CA6" w:rsidRDefault="00FA4CA6" w:rsidP="00FE4FE6">
            <w:pPr>
              <w:pStyle w:val="NoSpacing"/>
              <w:rPr>
                <w:b/>
                <w:bCs/>
                <w:lang w:val="ru-RU"/>
              </w:rPr>
            </w:pPr>
            <w:r w:rsidRPr="00FA4CA6">
              <w:rPr>
                <w:b/>
                <w:bCs/>
                <w:lang w:val="ru-RU"/>
              </w:rPr>
              <w:t>Колона 1</w:t>
            </w:r>
          </w:p>
        </w:tc>
        <w:tc>
          <w:tcPr>
            <w:tcW w:w="2500" w:type="pct"/>
          </w:tcPr>
          <w:p w14:paraId="74C3B662" w14:textId="21B4FC3D" w:rsidR="00FE4FE6" w:rsidRPr="00FA4CA6" w:rsidRDefault="00FA4CA6" w:rsidP="00FE4FE6">
            <w:pPr>
              <w:pStyle w:val="NoSpacing"/>
              <w:rPr>
                <w:b/>
                <w:bCs/>
                <w:lang w:val="ru-RU"/>
              </w:rPr>
            </w:pPr>
            <w:r w:rsidRPr="00FA4CA6">
              <w:rPr>
                <w:b/>
                <w:bCs/>
                <w:lang w:val="ru-RU"/>
              </w:rPr>
              <w:t>Колона 2</w:t>
            </w:r>
          </w:p>
        </w:tc>
      </w:tr>
      <w:tr w:rsidR="00FE4FE6" w14:paraId="01D2669D" w14:textId="77777777" w:rsidTr="00FA4CA6">
        <w:tc>
          <w:tcPr>
            <w:tcW w:w="2500" w:type="pct"/>
          </w:tcPr>
          <w:p w14:paraId="025C4AB2" w14:textId="4F9AF7BD" w:rsidR="00FE4FE6" w:rsidRDefault="00FA4CA6" w:rsidP="00FE4FE6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Податак 1.1</w:t>
            </w:r>
          </w:p>
        </w:tc>
        <w:tc>
          <w:tcPr>
            <w:tcW w:w="2500" w:type="pct"/>
          </w:tcPr>
          <w:p w14:paraId="29AA357B" w14:textId="4B58FB11" w:rsidR="00FE4FE6" w:rsidRDefault="00FA4CA6" w:rsidP="00FE4FE6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Податак 2.1</w:t>
            </w:r>
          </w:p>
        </w:tc>
      </w:tr>
      <w:tr w:rsidR="00FE4FE6" w14:paraId="39B3B03E" w14:textId="77777777" w:rsidTr="00FA4CA6">
        <w:tc>
          <w:tcPr>
            <w:tcW w:w="2500" w:type="pct"/>
          </w:tcPr>
          <w:p w14:paraId="7FB73E9E" w14:textId="0E4D6A00" w:rsidR="00FE4FE6" w:rsidRDefault="00FA4CA6" w:rsidP="00FE4FE6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Податак 1.</w:t>
            </w:r>
            <w:r>
              <w:rPr>
                <w:lang w:val="ru-RU"/>
              </w:rPr>
              <w:t>2</w:t>
            </w:r>
          </w:p>
        </w:tc>
        <w:tc>
          <w:tcPr>
            <w:tcW w:w="2500" w:type="pct"/>
          </w:tcPr>
          <w:p w14:paraId="33EA2C56" w14:textId="717E1156" w:rsidR="00FE4FE6" w:rsidRDefault="00FA4CA6" w:rsidP="00FE4FE6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Податак 2.</w:t>
            </w:r>
            <w:r>
              <w:rPr>
                <w:lang w:val="ru-RU"/>
              </w:rPr>
              <w:t>2</w:t>
            </w:r>
          </w:p>
        </w:tc>
      </w:tr>
      <w:tr w:rsidR="00FE4FE6" w14:paraId="626A4915" w14:textId="77777777" w:rsidTr="00FA4CA6">
        <w:tc>
          <w:tcPr>
            <w:tcW w:w="2500" w:type="pct"/>
          </w:tcPr>
          <w:p w14:paraId="3D7CFB90" w14:textId="4AE82F42" w:rsidR="00FE4FE6" w:rsidRDefault="00FA4CA6" w:rsidP="00FE4FE6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Податак 1.</w:t>
            </w:r>
            <w:r>
              <w:rPr>
                <w:lang w:val="ru-RU"/>
              </w:rPr>
              <w:t>3</w:t>
            </w:r>
          </w:p>
        </w:tc>
        <w:tc>
          <w:tcPr>
            <w:tcW w:w="2500" w:type="pct"/>
          </w:tcPr>
          <w:p w14:paraId="7ECB9043" w14:textId="30D0A27B" w:rsidR="00FE4FE6" w:rsidRDefault="00FA4CA6" w:rsidP="00FA4CA6">
            <w:pPr>
              <w:pStyle w:val="NoSpacing"/>
              <w:keepNext/>
              <w:rPr>
                <w:lang w:val="ru-RU"/>
              </w:rPr>
            </w:pPr>
            <w:r>
              <w:rPr>
                <w:lang w:val="ru-RU"/>
              </w:rPr>
              <w:t>Податак 2.</w:t>
            </w:r>
            <w:r>
              <w:rPr>
                <w:lang w:val="ru-RU"/>
              </w:rPr>
              <w:t>3</w:t>
            </w:r>
          </w:p>
        </w:tc>
      </w:tr>
    </w:tbl>
    <w:p w14:paraId="054B62EF" w14:textId="0B1FA388" w:rsidR="00FE4FE6" w:rsidRDefault="00FA4CA6" w:rsidP="00FA4CA6">
      <w:pPr>
        <w:pStyle w:val="Caption"/>
        <w:rPr>
          <w:lang w:val="ru-RU"/>
        </w:rPr>
      </w:pPr>
      <w:r>
        <w:t xml:space="preserve">Табела </w:t>
      </w:r>
      <w:r>
        <w:fldChar w:fldCharType="begin"/>
      </w:r>
      <w:r>
        <w:instrText xml:space="preserve"> SEQ Табела \* ARABIC </w:instrText>
      </w:r>
      <w:r>
        <w:fldChar w:fldCharType="separate"/>
      </w:r>
      <w:r>
        <w:t>1</w:t>
      </w:r>
      <w:r>
        <w:fldChar w:fldCharType="end"/>
      </w:r>
      <w:r>
        <w:rPr>
          <w:lang w:val="sr-Cyrl-RS"/>
        </w:rPr>
        <w:t>. Опис табеле</w:t>
      </w:r>
    </w:p>
    <w:p w14:paraId="5B8EBEBA" w14:textId="6D3704F3" w:rsidR="003563EE" w:rsidRDefault="003563EE" w:rsidP="00AF072C">
      <w:pPr>
        <w:rPr>
          <w:lang w:val="ru-RU"/>
        </w:rPr>
      </w:pPr>
      <w:r>
        <w:rPr>
          <w:lang w:val="ru-RU"/>
        </w:rPr>
        <w:t>Ово је код програма:</w:t>
      </w:r>
    </w:p>
    <w:p w14:paraId="3E1054D5" w14:textId="77777777" w:rsidR="00FE4FE6" w:rsidRPr="00FE4FE6" w:rsidRDefault="00FE4FE6" w:rsidP="00FA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firstLine="0"/>
        <w:jc w:val="left"/>
        <w:rPr>
          <w:rFonts w:ascii="Cascadia Mono" w:hAnsi="Cascadia Mono" w:cs="Cascadia Mono"/>
          <w:color w:val="000000"/>
          <w:sz w:val="20"/>
          <w:szCs w:val="20"/>
        </w:rPr>
      </w:pPr>
      <w:r w:rsidRPr="00FE4FE6">
        <w:rPr>
          <w:rFonts w:ascii="Cascadia Mono" w:hAnsi="Cascadia Mono" w:cs="Cascadia Mono"/>
          <w:color w:val="000000"/>
          <w:sz w:val="20"/>
          <w:szCs w:val="20"/>
        </w:rPr>
        <w:t xml:space="preserve">SentimentModel.ModelInput sampleData = </w:t>
      </w:r>
      <w:r w:rsidRPr="00FE4FE6">
        <w:rPr>
          <w:rFonts w:ascii="Cascadia Mono" w:hAnsi="Cascadia Mono" w:cs="Cascadia Mono"/>
          <w:color w:val="0000FF"/>
          <w:sz w:val="20"/>
          <w:szCs w:val="20"/>
        </w:rPr>
        <w:t>new</w:t>
      </w:r>
      <w:r w:rsidRPr="00FE4FE6">
        <w:rPr>
          <w:rFonts w:ascii="Cascadia Mono" w:hAnsi="Cascadia Mono" w:cs="Cascadia Mono"/>
          <w:color w:val="000000"/>
          <w:sz w:val="20"/>
          <w:szCs w:val="20"/>
        </w:rPr>
        <w:t xml:space="preserve"> SentimentModel.ModelInput()</w:t>
      </w:r>
    </w:p>
    <w:p w14:paraId="13934480" w14:textId="77777777" w:rsidR="00FE4FE6" w:rsidRPr="00FE4FE6" w:rsidRDefault="00FE4FE6" w:rsidP="00FA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firstLine="0"/>
        <w:jc w:val="left"/>
        <w:rPr>
          <w:rFonts w:ascii="Cascadia Mono" w:hAnsi="Cascadia Mono" w:cs="Cascadia Mono"/>
          <w:color w:val="000000"/>
          <w:sz w:val="20"/>
          <w:szCs w:val="20"/>
        </w:rPr>
      </w:pPr>
      <w:r w:rsidRPr="00FE4FE6">
        <w:rPr>
          <w:rFonts w:ascii="Cascadia Mono" w:hAnsi="Cascadia Mono" w:cs="Cascadia Mono"/>
          <w:color w:val="000000"/>
          <w:sz w:val="20"/>
          <w:szCs w:val="20"/>
        </w:rPr>
        <w:t>{</w:t>
      </w:r>
    </w:p>
    <w:p w14:paraId="13B7A32B" w14:textId="77777777" w:rsidR="00FE4FE6" w:rsidRPr="00FE4FE6" w:rsidRDefault="00FE4FE6" w:rsidP="00FA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firstLine="0"/>
        <w:jc w:val="left"/>
        <w:rPr>
          <w:rFonts w:ascii="Cascadia Mono" w:hAnsi="Cascadia Mono" w:cs="Cascadia Mono"/>
          <w:color w:val="000000"/>
          <w:sz w:val="20"/>
          <w:szCs w:val="20"/>
        </w:rPr>
      </w:pPr>
      <w:r w:rsidRPr="00FE4FE6">
        <w:rPr>
          <w:rFonts w:ascii="Cascadia Mono" w:hAnsi="Cascadia Mono" w:cs="Cascadia Mono"/>
          <w:color w:val="000000"/>
          <w:sz w:val="20"/>
          <w:szCs w:val="20"/>
        </w:rPr>
        <w:t xml:space="preserve">    Col0 = x,</w:t>
      </w:r>
    </w:p>
    <w:p w14:paraId="06FB52BC" w14:textId="77777777" w:rsidR="00FE4FE6" w:rsidRPr="00FE4FE6" w:rsidRDefault="00FE4FE6" w:rsidP="00FA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firstLine="0"/>
        <w:jc w:val="left"/>
        <w:rPr>
          <w:rFonts w:ascii="Cascadia Mono" w:hAnsi="Cascadia Mono" w:cs="Cascadia Mono"/>
          <w:color w:val="000000"/>
          <w:sz w:val="20"/>
          <w:szCs w:val="20"/>
        </w:rPr>
      </w:pPr>
      <w:r w:rsidRPr="00FE4FE6">
        <w:rPr>
          <w:rFonts w:ascii="Cascadia Mono" w:hAnsi="Cascadia Mono" w:cs="Cascadia Mono"/>
          <w:color w:val="000000"/>
          <w:sz w:val="20"/>
          <w:szCs w:val="20"/>
        </w:rPr>
        <w:t>};</w:t>
      </w:r>
    </w:p>
    <w:p w14:paraId="17C9B77C" w14:textId="3090D2F6" w:rsidR="00FA4CA6" w:rsidRPr="00FE4FE6" w:rsidRDefault="00FE4FE6" w:rsidP="00FA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firstLine="0"/>
        <w:jc w:val="left"/>
        <w:rPr>
          <w:rFonts w:ascii="Cascadia Mono" w:hAnsi="Cascadia Mono" w:cs="Cascadia Mono"/>
          <w:color w:val="000000"/>
          <w:sz w:val="20"/>
          <w:szCs w:val="20"/>
        </w:rPr>
      </w:pPr>
      <w:r w:rsidRPr="00FE4FE6">
        <w:rPr>
          <w:rFonts w:ascii="Cascadia Mono" w:hAnsi="Cascadia Mono" w:cs="Cascadia Mono"/>
          <w:color w:val="0000FF"/>
          <w:sz w:val="20"/>
          <w:szCs w:val="20"/>
        </w:rPr>
        <w:t>var</w:t>
      </w:r>
      <w:r w:rsidRPr="00FE4FE6">
        <w:rPr>
          <w:rFonts w:ascii="Cascadia Mono" w:hAnsi="Cascadia Mono" w:cs="Cascadia Mono"/>
          <w:color w:val="000000"/>
          <w:sz w:val="20"/>
          <w:szCs w:val="20"/>
        </w:rPr>
        <w:t xml:space="preserve"> predictionResult = SentimentModel.Predict(sampleData);</w:t>
      </w:r>
    </w:p>
    <w:p w14:paraId="137B3490" w14:textId="28C2ED50" w:rsidR="00FA4CA6" w:rsidRPr="00FA4CA6" w:rsidRDefault="00FA4CA6" w:rsidP="00FA4CA6">
      <w:pPr>
        <w:ind w:firstLine="0"/>
        <w:jc w:val="center"/>
        <w:rPr>
          <w:i/>
          <w:iCs/>
          <w:lang w:val="ru-RU"/>
        </w:rPr>
      </w:pPr>
      <w:r w:rsidRPr="00FA4CA6">
        <w:rPr>
          <w:i/>
          <w:iCs/>
          <w:lang w:val="ru-RU"/>
        </w:rPr>
        <w:t xml:space="preserve">Код 1. </w:t>
      </w:r>
      <w:r>
        <w:rPr>
          <w:i/>
          <w:iCs/>
          <w:lang w:val="ru-RU"/>
        </w:rPr>
        <w:t>Опис кода</w:t>
      </w:r>
    </w:p>
    <w:p w14:paraId="4F8A97FF" w14:textId="3EF9E2B6" w:rsidR="00FE4FE6" w:rsidRDefault="00FE4FE6" w:rsidP="00FE4FE6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12F6009C" w14:textId="77777777" w:rsidR="00FE4FE6" w:rsidRDefault="00FE4FE6" w:rsidP="00FE4FE6">
      <w:pPr>
        <w:rPr>
          <w:lang w:val="ru-RU"/>
        </w:rPr>
      </w:pPr>
      <w:r w:rsidRPr="00AF072C">
        <w:rPr>
          <w:lang w:val="ru-RU"/>
        </w:rPr>
        <w:t>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 Примена машинског учења у сајбер безбедности.</w:t>
      </w:r>
    </w:p>
    <w:p w14:paraId="680B17BC" w14:textId="77777777" w:rsidR="00FE4FE6" w:rsidRPr="00FE4FE6" w:rsidRDefault="00FE4FE6" w:rsidP="00FE4FE6"/>
    <w:p w14:paraId="7DB75DAE" w14:textId="677660BE" w:rsidR="0029424C" w:rsidRDefault="00FE4FE6" w:rsidP="00FE4FE6">
      <w:pPr>
        <w:pStyle w:val="Heading1"/>
        <w:rPr>
          <w:lang w:val="sr-Cyrl-RS"/>
        </w:rPr>
      </w:pPr>
      <w:r>
        <w:rPr>
          <w:lang w:val="sr-Cyrl-RS"/>
        </w:rPr>
        <w:t>Литература и извори</w:t>
      </w:r>
    </w:p>
    <w:p w14:paraId="29756FD3" w14:textId="74965B52" w:rsidR="00FA4CA6" w:rsidRDefault="00FA4CA6" w:rsidP="00FE4FE6">
      <w:pPr>
        <w:pStyle w:val="ListParagraph"/>
        <w:numPr>
          <w:ilvl w:val="0"/>
          <w:numId w:val="2"/>
        </w:numPr>
        <w:rPr>
          <w:lang w:val="sr-Cyrl-RS"/>
        </w:rPr>
      </w:pPr>
      <w:r w:rsidRPr="00FA4CA6">
        <w:rPr>
          <w:lang w:val="sr-Cyrl-RS"/>
        </w:rPr>
        <w:t>Jason Bell, Machine Learning, John Wiley &amp; Sons, 2015</w:t>
      </w:r>
    </w:p>
    <w:p w14:paraId="473A4D14" w14:textId="04315F9C" w:rsidR="00FA4CA6" w:rsidRDefault="00FA4CA6" w:rsidP="00FE4FE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Белешке са часа</w:t>
      </w:r>
    </w:p>
    <w:p w14:paraId="436A51A8" w14:textId="07F7B47A" w:rsidR="00FE4FE6" w:rsidRDefault="00FA4CA6" w:rsidP="00FE4FE6">
      <w:pPr>
        <w:pStyle w:val="ListParagraph"/>
        <w:numPr>
          <w:ilvl w:val="0"/>
          <w:numId w:val="2"/>
        </w:numPr>
        <w:rPr>
          <w:lang w:val="sr-Cyrl-RS"/>
        </w:rPr>
      </w:pPr>
      <w:hyperlink r:id="rId6" w:history="1">
        <w:r w:rsidRPr="005B2D6B">
          <w:rPr>
            <w:rStyle w:val="Hyperlink"/>
            <w:lang w:val="sr-Cyrl-RS"/>
          </w:rPr>
          <w:t>https://startit.rs/masinsko-ucenje-je-zabavno/</w:t>
        </w:r>
      </w:hyperlink>
    </w:p>
    <w:p w14:paraId="3AEA3331" w14:textId="092BE900" w:rsidR="00FA4CA6" w:rsidRPr="00FA4CA6" w:rsidRDefault="00FA4CA6" w:rsidP="00332E21">
      <w:pPr>
        <w:pStyle w:val="ListParagraph"/>
        <w:numPr>
          <w:ilvl w:val="0"/>
          <w:numId w:val="2"/>
        </w:numPr>
        <w:rPr>
          <w:lang w:val="sr-Cyrl-RS"/>
        </w:rPr>
      </w:pPr>
      <w:hyperlink r:id="rId7" w:history="1">
        <w:r w:rsidRPr="00FA4CA6">
          <w:rPr>
            <w:rStyle w:val="Hyperlink"/>
            <w:lang w:val="sr-Cyrl-RS"/>
          </w:rPr>
          <w:t>http://ri4es.etf.rs/materijali/predavanja_old_/IS_P11_MasinskoUcenje.pdf</w:t>
        </w:r>
      </w:hyperlink>
    </w:p>
    <w:sectPr w:rsidR="00FA4CA6" w:rsidRPr="00FA4CA6" w:rsidSect="00AF072C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59"/>
    <w:multiLevelType w:val="hybridMultilevel"/>
    <w:tmpl w:val="1764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817"/>
    <w:multiLevelType w:val="multilevel"/>
    <w:tmpl w:val="3E26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0286424">
    <w:abstractNumId w:val="1"/>
  </w:num>
  <w:num w:numId="2" w16cid:durableId="79567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C"/>
    <w:rsid w:val="00255689"/>
    <w:rsid w:val="00280216"/>
    <w:rsid w:val="0029424C"/>
    <w:rsid w:val="002F2F60"/>
    <w:rsid w:val="003563EE"/>
    <w:rsid w:val="00384BF4"/>
    <w:rsid w:val="004F659F"/>
    <w:rsid w:val="00AF072C"/>
    <w:rsid w:val="00FA4CA6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790C"/>
  <w15:chartTrackingRefBased/>
  <w15:docId w15:val="{DEAE5E18-90C8-4DFD-A180-EFBA26B3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24C"/>
    <w:pPr>
      <w:spacing w:before="120" w:after="120" w:line="240" w:lineRule="auto"/>
      <w:ind w:firstLine="567"/>
      <w:jc w:val="both"/>
    </w:pPr>
    <w:rPr>
      <w:rFonts w:ascii="Times New Roman" w:hAnsi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72C"/>
    <w:pPr>
      <w:keepNext/>
      <w:keepLines/>
      <w:jc w:val="left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72C"/>
    <w:pPr>
      <w:keepNext/>
      <w:keepLines/>
      <w:jc w:val="left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24C"/>
    <w:pPr>
      <w:keepNext/>
      <w:keepLines/>
      <w:spacing w:before="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216"/>
    <w:pPr>
      <w:ind w:firstLine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216"/>
    <w:rPr>
      <w:rFonts w:ascii="Arial" w:eastAsiaTheme="majorEastAsia" w:hAnsi="Arial" w:cstheme="majorBidi"/>
      <w:b/>
      <w:noProof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072C"/>
    <w:rPr>
      <w:rFonts w:ascii="Arial" w:eastAsiaTheme="majorEastAsia" w:hAnsi="Arial" w:cstheme="majorBidi"/>
      <w:b/>
      <w:noProof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072C"/>
    <w:rPr>
      <w:rFonts w:ascii="Arial" w:eastAsiaTheme="majorEastAsia" w:hAnsi="Arial" w:cstheme="majorBidi"/>
      <w:b/>
      <w:noProof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216"/>
    <w:pPr>
      <w:numPr>
        <w:ilvl w:val="1"/>
      </w:numPr>
      <w:spacing w:before="0" w:after="0"/>
      <w:jc w:val="center"/>
    </w:pPr>
    <w:rPr>
      <w:rFonts w:ascii="Arial" w:eastAsiaTheme="minorEastAsia" w:hAnsi="Arial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216"/>
    <w:rPr>
      <w:rFonts w:ascii="Arial" w:eastAsiaTheme="minorEastAsia" w:hAnsi="Arial"/>
      <w:noProof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24C"/>
    <w:rPr>
      <w:rFonts w:ascii="Arial" w:eastAsiaTheme="majorEastAsia" w:hAnsi="Arial" w:cstheme="majorBidi"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A4CA6"/>
    <w:pPr>
      <w:ind w:firstLine="0"/>
      <w:jc w:val="center"/>
    </w:pPr>
    <w:rPr>
      <w:i/>
      <w:iCs/>
      <w:szCs w:val="18"/>
    </w:rPr>
  </w:style>
  <w:style w:type="paragraph" w:styleId="ListParagraph">
    <w:name w:val="List Paragraph"/>
    <w:basedOn w:val="Normal"/>
    <w:uiPriority w:val="34"/>
    <w:qFormat/>
    <w:rsid w:val="00FE4FE6"/>
    <w:pPr>
      <w:ind w:left="720"/>
      <w:contextualSpacing/>
    </w:pPr>
  </w:style>
  <w:style w:type="table" w:styleId="TableGrid">
    <w:name w:val="Table Grid"/>
    <w:basedOn w:val="TableNormal"/>
    <w:uiPriority w:val="39"/>
    <w:rsid w:val="00FE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4FE6"/>
    <w:pPr>
      <w:spacing w:after="0" w:line="240" w:lineRule="auto"/>
      <w:jc w:val="both"/>
    </w:pPr>
    <w:rPr>
      <w:rFonts w:ascii="Times New Roman" w:hAnsi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FA4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4es.etf.rs/materijali/predavanja_old_/IS_P11_MasinskoUcenj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tit.rs/masinsko-ucenje-je-zabav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 Radlovački</dc:creator>
  <cp:keywords/>
  <dc:description/>
  <cp:lastModifiedBy>Velimir Radlovački</cp:lastModifiedBy>
  <cp:revision>2</cp:revision>
  <dcterms:created xsi:type="dcterms:W3CDTF">2022-12-04T18:24:00Z</dcterms:created>
  <dcterms:modified xsi:type="dcterms:W3CDTF">2022-12-04T20:16:00Z</dcterms:modified>
</cp:coreProperties>
</file>